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F6" w:rsidRPr="00BD3A0E" w:rsidRDefault="00693DF6" w:rsidP="005707D3">
      <w:pPr>
        <w:pStyle w:val="Heading1"/>
        <w:jc w:val="right"/>
        <w:rPr>
          <w:sz w:val="20"/>
        </w:rPr>
      </w:pPr>
    </w:p>
    <w:p w:rsidR="00EF7238" w:rsidRDefault="00D417EB" w:rsidP="00693DF6">
      <w:pPr>
        <w:pStyle w:val="Heading1"/>
      </w:pPr>
      <w:r>
        <w:t>ECON4910</w:t>
      </w:r>
      <w:r w:rsidR="00693DF6">
        <w:t xml:space="preserve"> </w:t>
      </w:r>
      <w:r>
        <w:t xml:space="preserve">Environmental </w:t>
      </w:r>
      <w:r w:rsidR="00693DF6">
        <w:t xml:space="preserve">economics, </w:t>
      </w:r>
      <w:proofErr w:type="gramStart"/>
      <w:r w:rsidR="004B2EF0">
        <w:t>Spring</w:t>
      </w:r>
      <w:proofErr w:type="gramEnd"/>
      <w:r w:rsidR="004B2EF0">
        <w:t xml:space="preserve"> 2015</w:t>
      </w:r>
    </w:p>
    <w:p w:rsidR="000348CA" w:rsidRPr="00EF7238" w:rsidRDefault="000348CA" w:rsidP="000348CA">
      <w:pPr>
        <w:rPr>
          <w:b/>
          <w:sz w:val="28"/>
          <w:szCs w:val="28"/>
          <w:lang w:val="en-GB"/>
        </w:rPr>
      </w:pPr>
      <w:r w:rsidRPr="00EF7238">
        <w:rPr>
          <w:b/>
          <w:sz w:val="28"/>
          <w:szCs w:val="28"/>
          <w:lang w:val="en-GB"/>
        </w:rPr>
        <w:t xml:space="preserve">Michael Hoel: </w:t>
      </w:r>
    </w:p>
    <w:p w:rsidR="000348CA" w:rsidRPr="00EF7238" w:rsidRDefault="004B2EF0" w:rsidP="000348C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Lecture 9</w:t>
      </w:r>
      <w:r w:rsidR="000348CA" w:rsidRPr="00EF7238">
        <w:rPr>
          <w:b/>
          <w:sz w:val="28"/>
          <w:szCs w:val="28"/>
          <w:lang w:val="en-GB"/>
        </w:rPr>
        <w:t xml:space="preserve">: </w:t>
      </w:r>
      <w:r w:rsidR="000348CA">
        <w:rPr>
          <w:b/>
          <w:sz w:val="28"/>
          <w:szCs w:val="28"/>
          <w:lang w:val="en-GB"/>
        </w:rPr>
        <w:t>Stock pollution</w:t>
      </w:r>
    </w:p>
    <w:p w:rsidR="000348CA" w:rsidRDefault="004B2EF0" w:rsidP="000348CA">
      <w:pPr>
        <w:rPr>
          <w:lang w:val="en-GB"/>
        </w:rPr>
      </w:pPr>
      <w:r>
        <w:rPr>
          <w:lang w:val="en-GB"/>
        </w:rPr>
        <w:t>Updated March 16, 2015</w:t>
      </w:r>
    </w:p>
    <w:p w:rsidR="000348CA" w:rsidRDefault="000348CA" w:rsidP="000348CA">
      <w:pPr>
        <w:rPr>
          <w:lang w:val="en-GB"/>
        </w:rPr>
      </w:pPr>
    </w:p>
    <w:p w:rsidR="000348CA" w:rsidRPr="00D3353A" w:rsidRDefault="000348CA" w:rsidP="000348CA">
      <w:pPr>
        <w:rPr>
          <w:lang w:val="en-GB"/>
        </w:rPr>
      </w:pPr>
      <w:r>
        <w:rPr>
          <w:lang w:val="en-GB"/>
        </w:rPr>
        <w:t>Please bring lecture notes to lecture.</w:t>
      </w:r>
    </w:p>
    <w:p w:rsidR="000348CA" w:rsidRDefault="000348CA" w:rsidP="000348CA">
      <w:pPr>
        <w:rPr>
          <w:i/>
          <w:lang w:val="en-GB"/>
        </w:rPr>
      </w:pPr>
    </w:p>
    <w:p w:rsidR="000348CA" w:rsidRPr="00431F17" w:rsidRDefault="000348CA" w:rsidP="000348CA">
      <w:pPr>
        <w:rPr>
          <w:i/>
          <w:lang w:val="en-GB"/>
        </w:rPr>
      </w:pPr>
      <w:r>
        <w:rPr>
          <w:i/>
          <w:lang w:val="en-GB"/>
        </w:rPr>
        <w:t>Reading</w:t>
      </w:r>
      <w:r w:rsidRPr="00431F17">
        <w:rPr>
          <w:i/>
          <w:lang w:val="en-GB"/>
        </w:rPr>
        <w:t>:</w:t>
      </w:r>
    </w:p>
    <w:p w:rsidR="00571D44" w:rsidRDefault="0061290D" w:rsidP="0061290D">
      <w:pPr>
        <w:rPr>
          <w:bCs/>
          <w:lang w:val="en-GB"/>
        </w:rPr>
      </w:pPr>
      <w:proofErr w:type="spellStart"/>
      <w:r>
        <w:rPr>
          <w:bCs/>
          <w:lang w:val="en-GB"/>
        </w:rPr>
        <w:t>Perman</w:t>
      </w:r>
      <w:proofErr w:type="spellEnd"/>
      <w:r>
        <w:rPr>
          <w:bCs/>
          <w:lang w:val="en-GB"/>
        </w:rPr>
        <w:t xml:space="preserve"> et al. (2011). C</w:t>
      </w:r>
      <w:r w:rsidR="00571D44">
        <w:rPr>
          <w:bCs/>
          <w:lang w:val="en-GB"/>
        </w:rPr>
        <w:t>h</w:t>
      </w:r>
      <w:r w:rsidR="000348CA">
        <w:rPr>
          <w:bCs/>
          <w:lang w:val="en-GB"/>
        </w:rPr>
        <w:t xml:space="preserve">apter </w:t>
      </w:r>
      <w:r>
        <w:rPr>
          <w:bCs/>
          <w:lang w:val="en-GB"/>
        </w:rPr>
        <w:t>16, in particular sections 16.4 and 16.1</w:t>
      </w:r>
    </w:p>
    <w:p w:rsidR="00B83F6C" w:rsidRDefault="00B83F6C" w:rsidP="0061290D">
      <w:pPr>
        <w:rPr>
          <w:bCs/>
          <w:lang w:val="en-GB"/>
        </w:rPr>
      </w:pPr>
      <w:r>
        <w:rPr>
          <w:bCs/>
          <w:lang w:val="en-GB"/>
        </w:rPr>
        <w:t xml:space="preserve">Note: If you don’t have the book, you can find (almost) the same material in the </w:t>
      </w:r>
      <w:bookmarkStart w:id="0" w:name="_GoBack"/>
      <w:bookmarkEnd w:id="0"/>
      <w:r>
        <w:rPr>
          <w:bCs/>
          <w:lang w:val="en-GB"/>
        </w:rPr>
        <w:t>3</w:t>
      </w:r>
      <w:r w:rsidRPr="00B83F6C">
        <w:rPr>
          <w:bCs/>
          <w:vertAlign w:val="superscript"/>
          <w:lang w:val="en-GB"/>
        </w:rPr>
        <w:t>rd</w:t>
      </w:r>
      <w:r>
        <w:rPr>
          <w:bCs/>
          <w:lang w:val="en-GB"/>
        </w:rPr>
        <w:t xml:space="preserve"> edition, which is available at</w:t>
      </w:r>
    </w:p>
    <w:p w:rsidR="00B83F6C" w:rsidRDefault="00B83F6C" w:rsidP="0061290D">
      <w:pPr>
        <w:rPr>
          <w:bCs/>
          <w:lang w:val="en-GB"/>
        </w:rPr>
      </w:pPr>
      <w:hyperlink r:id="rId8" w:history="1">
        <w:r w:rsidRPr="001B08E5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https://dutraeconomicus.files.wordpress.com/2014/01/roger-perman-yue-ma-michael-common-david-maddison-james-mcgilvray-natural-resource-and-environmental-economics-3rd-edition-2003.pdf</w:t>
        </w:r>
      </w:hyperlink>
    </w:p>
    <w:p w:rsidR="00571D44" w:rsidRDefault="00571D44" w:rsidP="00571D44">
      <w:pPr>
        <w:rPr>
          <w:bCs/>
          <w:lang w:val="en-GB"/>
        </w:rPr>
      </w:pPr>
    </w:p>
    <w:p w:rsidR="00571D44" w:rsidRDefault="004B2EF0" w:rsidP="00571D44">
      <w:pPr>
        <w:rPr>
          <w:bCs/>
          <w:lang w:val="en-GB"/>
        </w:rPr>
      </w:pPr>
      <w:r>
        <w:rPr>
          <w:bCs/>
          <w:lang w:val="en-GB"/>
        </w:rPr>
        <w:t>You should</w:t>
      </w:r>
      <w:r w:rsidR="00571D44">
        <w:rPr>
          <w:bCs/>
          <w:lang w:val="en-GB"/>
        </w:rPr>
        <w:t xml:space="preserve"> have some knowledge of optimal control theory.</w:t>
      </w:r>
      <w:r>
        <w:rPr>
          <w:bCs/>
          <w:lang w:val="en-GB"/>
        </w:rPr>
        <w:t xml:space="preserve"> The </w:t>
      </w:r>
      <w:r w:rsidR="0061290D">
        <w:rPr>
          <w:bCs/>
          <w:lang w:val="en-GB"/>
        </w:rPr>
        <w:t xml:space="preserve">lecture note </w:t>
      </w:r>
      <w:r>
        <w:rPr>
          <w:bCs/>
          <w:lang w:val="en-GB"/>
        </w:rPr>
        <w:t xml:space="preserve">“Optimal control theory with applications for resource and environmental economics” gives you the necessary knowledge.  </w:t>
      </w:r>
    </w:p>
    <w:p w:rsidR="00571D44" w:rsidRDefault="00571D44" w:rsidP="007C20D9">
      <w:pPr>
        <w:spacing w:line="360" w:lineRule="auto"/>
        <w:rPr>
          <w:b/>
          <w:lang w:val="en-GB"/>
        </w:rPr>
      </w:pPr>
    </w:p>
    <w:p w:rsidR="0061290D" w:rsidRDefault="00C5219C" w:rsidP="0061290D">
      <w:pPr>
        <w:spacing w:line="360" w:lineRule="auto"/>
        <w:rPr>
          <w:b/>
          <w:lang w:val="en-GB"/>
        </w:rPr>
      </w:pPr>
      <w:r>
        <w:rPr>
          <w:b/>
          <w:lang w:val="en-GB"/>
        </w:rPr>
        <w:t>Summary of main</w:t>
      </w:r>
      <w:r w:rsidR="00571D44">
        <w:rPr>
          <w:b/>
          <w:lang w:val="en-GB"/>
        </w:rPr>
        <w:t xml:space="preserve"> theory</w:t>
      </w:r>
      <w:r>
        <w:rPr>
          <w:b/>
          <w:lang w:val="en-GB"/>
        </w:rPr>
        <w:t xml:space="preserve"> i</w:t>
      </w:r>
      <w:r w:rsidR="00571D44">
        <w:rPr>
          <w:b/>
          <w:lang w:val="en-GB"/>
        </w:rPr>
        <w:t xml:space="preserve">n </w:t>
      </w:r>
      <w:proofErr w:type="spellStart"/>
      <w:r w:rsidR="00571D44">
        <w:rPr>
          <w:b/>
          <w:lang w:val="en-GB"/>
        </w:rPr>
        <w:t>Perman</w:t>
      </w:r>
      <w:proofErr w:type="spellEnd"/>
      <w:r>
        <w:rPr>
          <w:b/>
          <w:lang w:val="en-GB"/>
        </w:rPr>
        <w:t xml:space="preserve"> </w:t>
      </w:r>
      <w:r w:rsidR="0061290D">
        <w:rPr>
          <w:b/>
          <w:lang w:val="en-GB"/>
        </w:rPr>
        <w:t>section 16.4</w:t>
      </w:r>
    </w:p>
    <w:p w:rsidR="00571D44" w:rsidRPr="00792239" w:rsidRDefault="00571D44" w:rsidP="00792239">
      <w:pPr>
        <w:pStyle w:val="ListParagraph"/>
        <w:numPr>
          <w:ilvl w:val="0"/>
          <w:numId w:val="44"/>
        </w:numPr>
        <w:spacing w:line="360" w:lineRule="auto"/>
        <w:rPr>
          <w:lang w:val="en-GB" w:eastAsia="en-US"/>
        </w:rPr>
      </w:pPr>
      <w:r w:rsidRPr="00792239">
        <w:rPr>
          <w:lang w:val="en-GB" w:eastAsia="en-US"/>
        </w:rPr>
        <w:t>Notation:</w:t>
      </w:r>
    </w:p>
    <w:p w:rsidR="00571D44" w:rsidRDefault="0061290D" w:rsidP="00792239">
      <w:pPr>
        <w:numPr>
          <w:ilvl w:val="1"/>
          <w:numId w:val="45"/>
        </w:numPr>
        <w:spacing w:line="360" w:lineRule="auto"/>
        <w:rPr>
          <w:lang w:val="en-GB" w:eastAsia="en-US"/>
        </w:rPr>
      </w:pPr>
      <w:r>
        <w:rPr>
          <w:i/>
          <w:lang w:val="en-GB" w:eastAsia="en-US"/>
        </w:rPr>
        <w:t xml:space="preserve">M </w:t>
      </w:r>
      <w:r w:rsidR="00571D44">
        <w:rPr>
          <w:lang w:val="en-GB" w:eastAsia="en-US"/>
        </w:rPr>
        <w:t xml:space="preserve"> is a flow </w:t>
      </w:r>
    </w:p>
    <w:p w:rsidR="00571D44" w:rsidRDefault="00571D44" w:rsidP="00792239">
      <w:pPr>
        <w:numPr>
          <w:ilvl w:val="1"/>
          <w:numId w:val="45"/>
        </w:numPr>
        <w:spacing w:line="360" w:lineRule="auto"/>
        <w:rPr>
          <w:lang w:val="en-GB" w:eastAsia="en-US"/>
        </w:rPr>
      </w:pPr>
      <w:r>
        <w:rPr>
          <w:i/>
          <w:lang w:val="en-GB" w:eastAsia="en-US"/>
        </w:rPr>
        <w:t>A</w:t>
      </w:r>
      <w:r w:rsidRPr="0043505F">
        <w:rPr>
          <w:i/>
          <w:lang w:val="en-GB" w:eastAsia="en-US"/>
        </w:rPr>
        <w:t xml:space="preserve"> </w:t>
      </w:r>
      <w:r>
        <w:rPr>
          <w:lang w:val="en-GB" w:eastAsia="en-US"/>
        </w:rPr>
        <w:t xml:space="preserve">is a stock </w:t>
      </w:r>
    </w:p>
    <w:p w:rsidR="00571D44" w:rsidRDefault="00306BB9" w:rsidP="00792239">
      <w:pPr>
        <w:numPr>
          <w:ilvl w:val="1"/>
          <w:numId w:val="45"/>
        </w:numPr>
        <w:spacing w:line="360" w:lineRule="auto"/>
        <w:rPr>
          <w:lang w:val="en-GB" w:eastAsia="en-US"/>
        </w:rPr>
      </w:pPr>
      <w:r w:rsidRPr="004072B3">
        <w:rPr>
          <w:position w:val="-6"/>
          <w:lang w:val="en-GB" w:eastAsia="en-US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.95pt" o:ole="">
            <v:imagedata r:id="rId9" o:title=""/>
          </v:shape>
          <o:OLEObject Type="Embed" ProgID="Equation.DSMT4" ShapeID="_x0000_i1025" DrawAspect="Content" ObjectID="_1488028934" r:id="rId10"/>
        </w:object>
      </w:r>
      <w:r w:rsidR="00571D44">
        <w:rPr>
          <w:lang w:val="en-GB" w:eastAsia="en-US"/>
        </w:rPr>
        <w:t xml:space="preserve"> </w:t>
      </w:r>
      <w:proofErr w:type="gramStart"/>
      <w:r w:rsidR="00571D44">
        <w:rPr>
          <w:lang w:val="en-GB" w:eastAsia="en-US"/>
        </w:rPr>
        <w:t>is</w:t>
      </w:r>
      <w:proofErr w:type="gramEnd"/>
      <w:r w:rsidR="00571D44">
        <w:rPr>
          <w:lang w:val="en-GB" w:eastAsia="en-US"/>
        </w:rPr>
        <w:t xml:space="preserve"> rate of depreciation</w:t>
      </w:r>
      <w:r w:rsidR="002E790A">
        <w:rPr>
          <w:lang w:val="en-GB" w:eastAsia="en-US"/>
        </w:rPr>
        <w:t xml:space="preserve"> (</w:t>
      </w:r>
      <w:proofErr w:type="spellStart"/>
      <w:r w:rsidR="002E790A">
        <w:rPr>
          <w:lang w:val="en-GB" w:eastAsia="en-US"/>
        </w:rPr>
        <w:t>Perman</w:t>
      </w:r>
      <w:proofErr w:type="spellEnd"/>
      <w:r w:rsidR="002E790A">
        <w:rPr>
          <w:lang w:val="en-GB" w:eastAsia="en-US"/>
        </w:rPr>
        <w:t xml:space="preserve"> uses </w:t>
      </w:r>
      <w:r w:rsidR="002E790A" w:rsidRPr="004072B3">
        <w:rPr>
          <w:position w:val="-6"/>
          <w:lang w:val="en-GB" w:eastAsia="en-US"/>
        </w:rPr>
        <w:object w:dxaOrig="220" w:dyaOrig="220">
          <v:shape id="_x0000_i1026" type="#_x0000_t75" style="width:10.85pt;height:10.85pt" o:ole="">
            <v:imagedata r:id="rId11" o:title=""/>
          </v:shape>
          <o:OLEObject Type="Embed" ProgID="Equation.DSMT4" ShapeID="_x0000_i1026" DrawAspect="Content" ObjectID="_1488028935" r:id="rId12"/>
        </w:object>
      </w:r>
      <w:r w:rsidR="002E790A">
        <w:rPr>
          <w:lang w:val="en-GB" w:eastAsia="en-US"/>
        </w:rPr>
        <w:t>)</w:t>
      </w:r>
      <w:r w:rsidR="00571D44">
        <w:rPr>
          <w:lang w:val="en-GB" w:eastAsia="en-US"/>
        </w:rPr>
        <w:t>. Two cases:</w:t>
      </w:r>
    </w:p>
    <w:p w:rsidR="00571D44" w:rsidRDefault="00306BB9" w:rsidP="00792239">
      <w:pPr>
        <w:numPr>
          <w:ilvl w:val="2"/>
          <w:numId w:val="44"/>
        </w:numPr>
        <w:spacing w:line="360" w:lineRule="auto"/>
        <w:rPr>
          <w:lang w:val="en-GB" w:eastAsia="en-US"/>
        </w:rPr>
      </w:pPr>
      <w:r w:rsidRPr="004072B3">
        <w:rPr>
          <w:position w:val="-6"/>
          <w:lang w:val="en-GB" w:eastAsia="en-US"/>
        </w:rPr>
        <w:object w:dxaOrig="520" w:dyaOrig="260">
          <v:shape id="_x0000_i1027" type="#_x0000_t75" style="width:25.85pt;height:12.95pt" o:ole="">
            <v:imagedata r:id="rId13" o:title=""/>
          </v:shape>
          <o:OLEObject Type="Embed" ProgID="Equation.DSMT4" ShapeID="_x0000_i1027" DrawAspect="Content" ObjectID="_1488028936" r:id="rId14"/>
        </w:object>
      </w:r>
    </w:p>
    <w:p w:rsidR="00571D44" w:rsidRDefault="00306BB9" w:rsidP="00792239">
      <w:pPr>
        <w:numPr>
          <w:ilvl w:val="2"/>
          <w:numId w:val="44"/>
        </w:numPr>
        <w:spacing w:line="360" w:lineRule="auto"/>
        <w:rPr>
          <w:lang w:val="en-GB" w:eastAsia="en-US"/>
        </w:rPr>
      </w:pPr>
      <w:r w:rsidRPr="004072B3">
        <w:rPr>
          <w:position w:val="-6"/>
          <w:lang w:val="en-GB" w:eastAsia="en-US"/>
        </w:rPr>
        <w:object w:dxaOrig="520" w:dyaOrig="260">
          <v:shape id="_x0000_i1028" type="#_x0000_t75" style="width:25.85pt;height:12.95pt" o:ole="">
            <v:imagedata r:id="rId15" o:title=""/>
          </v:shape>
          <o:OLEObject Type="Embed" ProgID="Equation.DSMT4" ShapeID="_x0000_i1028" DrawAspect="Content" ObjectID="_1488028937" r:id="rId16"/>
        </w:objec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Stocks and flows; benefit of flow </w:t>
      </w:r>
      <w:proofErr w:type="gramStart"/>
      <w:r w:rsidRPr="0043505F">
        <w:rPr>
          <w:i/>
          <w:lang w:val="en-GB" w:eastAsia="en-US"/>
        </w:rPr>
        <w:t>B</w:t>
      </w:r>
      <w:r>
        <w:rPr>
          <w:lang w:val="en-GB" w:eastAsia="en-US"/>
        </w:rPr>
        <w:t>(</w:t>
      </w:r>
      <w:proofErr w:type="gramEnd"/>
      <w:r w:rsidR="0061290D">
        <w:rPr>
          <w:i/>
          <w:lang w:val="en-GB" w:eastAsia="en-US"/>
        </w:rPr>
        <w:t>M</w:t>
      </w:r>
      <w:r>
        <w:rPr>
          <w:lang w:val="en-GB" w:eastAsia="en-US"/>
        </w:rPr>
        <w:t xml:space="preserve">) and cost/damage of stock </w:t>
      </w:r>
      <w:r w:rsidRPr="0043505F">
        <w:rPr>
          <w:i/>
          <w:lang w:val="en-GB" w:eastAsia="en-US"/>
        </w:rPr>
        <w:t>D</w:t>
      </w:r>
      <w:r>
        <w:rPr>
          <w:lang w:val="en-GB" w:eastAsia="en-US"/>
        </w:rPr>
        <w:t>(</w:t>
      </w:r>
      <w:r>
        <w:rPr>
          <w:i/>
          <w:lang w:val="en-GB" w:eastAsia="en-US"/>
        </w:rPr>
        <w:t>A</w:t>
      </w:r>
      <w:r>
        <w:rPr>
          <w:lang w:val="en-GB" w:eastAsia="en-US"/>
        </w:rPr>
        <w:t>). Three case:</w:t>
      </w:r>
    </w:p>
    <w:p w:rsidR="00571D44" w:rsidRDefault="00571D44" w:rsidP="00792239">
      <w:pPr>
        <w:numPr>
          <w:ilvl w:val="1"/>
          <w:numId w:val="44"/>
        </w:numPr>
        <w:spacing w:line="360" w:lineRule="auto"/>
        <w:rPr>
          <w:lang w:val="en-GB" w:eastAsia="en-US"/>
        </w:rPr>
      </w:pPr>
      <w:r w:rsidRPr="008917DE">
        <w:rPr>
          <w:position w:val="-10"/>
          <w:lang w:val="en-GB" w:eastAsia="en-US"/>
        </w:rPr>
        <w:object w:dxaOrig="920" w:dyaOrig="300">
          <v:shape id="_x0000_i1029" type="#_x0000_t75" style="width:46.15pt;height:15pt" o:ole="">
            <v:imagedata r:id="rId17" o:title=""/>
          </v:shape>
          <o:OLEObject Type="Embed" ProgID="Equation.DSMT4" ShapeID="_x0000_i1029" DrawAspect="Content" ObjectID="_1488028938" r:id="rId18"/>
        </w:object>
      </w:r>
      <w:r>
        <w:rPr>
          <w:lang w:val="en-GB" w:eastAsia="en-US"/>
        </w:rPr>
        <w:t xml:space="preserve"> </w:t>
      </w:r>
      <w:proofErr w:type="gramStart"/>
      <w:r>
        <w:rPr>
          <w:lang w:val="en-GB" w:eastAsia="en-US"/>
        </w:rPr>
        <w:t>and</w:t>
      </w:r>
      <w:proofErr w:type="gramEnd"/>
      <w:r>
        <w:rPr>
          <w:lang w:val="en-GB" w:eastAsia="en-US"/>
        </w:rPr>
        <w:t xml:space="preserve"> </w:t>
      </w:r>
      <w:r w:rsidRPr="008917DE">
        <w:rPr>
          <w:position w:val="-10"/>
          <w:lang w:val="en-GB" w:eastAsia="en-US"/>
        </w:rPr>
        <w:object w:dxaOrig="960" w:dyaOrig="300">
          <v:shape id="_x0000_i1030" type="#_x0000_t75" style="width:47.9pt;height:15pt" o:ole="">
            <v:imagedata r:id="rId19" o:title=""/>
          </v:shape>
          <o:OLEObject Type="Embed" ProgID="Equation.DSMT4" ShapeID="_x0000_i1030" DrawAspect="Content" ObjectID="_1488028939" r:id="rId20"/>
        </w:object>
      </w:r>
      <w:r>
        <w:rPr>
          <w:lang w:val="en-GB" w:eastAsia="en-US"/>
        </w:rPr>
        <w:t xml:space="preserve"> for all </w:t>
      </w:r>
      <w:r>
        <w:rPr>
          <w:i/>
          <w:lang w:val="en-GB" w:eastAsia="en-US"/>
        </w:rPr>
        <w:t>A.</w:t>
      </w:r>
    </w:p>
    <w:p w:rsidR="00571D44" w:rsidRDefault="00571D44" w:rsidP="00792239">
      <w:pPr>
        <w:numPr>
          <w:ilvl w:val="1"/>
          <w:numId w:val="44"/>
        </w:numPr>
        <w:spacing w:line="360" w:lineRule="auto"/>
        <w:rPr>
          <w:lang w:val="en-GB" w:eastAsia="en-US"/>
        </w:rPr>
      </w:pPr>
      <w:r w:rsidRPr="008917DE">
        <w:rPr>
          <w:position w:val="-10"/>
          <w:lang w:val="en-GB" w:eastAsia="en-US"/>
        </w:rPr>
        <w:object w:dxaOrig="920" w:dyaOrig="300">
          <v:shape id="_x0000_i1031" type="#_x0000_t75" style="width:46.15pt;height:15pt" o:ole="">
            <v:imagedata r:id="rId21" o:title=""/>
          </v:shape>
          <o:OLEObject Type="Embed" ProgID="Equation.DSMT4" ShapeID="_x0000_i1031" DrawAspect="Content" ObjectID="_1488028940" r:id="rId22"/>
        </w:object>
      </w:r>
      <w:r>
        <w:rPr>
          <w:lang w:val="en-GB" w:eastAsia="en-US"/>
        </w:rPr>
        <w:t xml:space="preserve"> and </w:t>
      </w:r>
      <w:r w:rsidRPr="008917DE">
        <w:rPr>
          <w:position w:val="-10"/>
          <w:lang w:val="en-GB" w:eastAsia="en-US"/>
        </w:rPr>
        <w:object w:dxaOrig="960" w:dyaOrig="300">
          <v:shape id="_x0000_i1032" type="#_x0000_t75" style="width:47.9pt;height:15pt" o:ole="">
            <v:imagedata r:id="rId23" o:title=""/>
          </v:shape>
          <o:OLEObject Type="Embed" ProgID="Equation.DSMT4" ShapeID="_x0000_i1032" DrawAspect="Content" ObjectID="_1488028941" r:id="rId24"/>
        </w:object>
      </w:r>
      <w:r>
        <w:rPr>
          <w:lang w:val="en-GB" w:eastAsia="en-US"/>
        </w:rPr>
        <w:t xml:space="preserve"> for all </w:t>
      </w:r>
      <w:r>
        <w:rPr>
          <w:i/>
          <w:lang w:val="en-GB" w:eastAsia="en-US"/>
        </w:rPr>
        <w:t>A.</w:t>
      </w:r>
      <w:r>
        <w:rPr>
          <w:lang w:val="en-GB" w:eastAsia="en-US"/>
        </w:rPr>
        <w:t xml:space="preserve"> I.e. </w:t>
      </w:r>
      <w:r w:rsidR="0061290D" w:rsidRPr="008917DE">
        <w:rPr>
          <w:position w:val="-10"/>
          <w:lang w:val="en-GB" w:eastAsia="en-US"/>
        </w:rPr>
        <w:object w:dxaOrig="999" w:dyaOrig="300">
          <v:shape id="_x0000_i1033" type="#_x0000_t75" style="width:49.95pt;height:15pt" o:ole="">
            <v:imagedata r:id="rId25" o:title=""/>
          </v:shape>
          <o:OLEObject Type="Embed" ProgID="Equation.DSMT4" ShapeID="_x0000_i1033" DrawAspect="Content" ObjectID="_1488028942" r:id="rId26"/>
        </w:object>
      </w:r>
      <w:r>
        <w:rPr>
          <w:lang w:val="en-GB" w:eastAsia="en-US"/>
        </w:rPr>
        <w:t xml:space="preserve"> where </w:t>
      </w:r>
      <w:r w:rsidR="0061290D">
        <w:rPr>
          <w:i/>
          <w:lang w:val="en-GB" w:eastAsia="en-US"/>
        </w:rPr>
        <w:t>h</w:t>
      </w:r>
      <w:r>
        <w:rPr>
          <w:lang w:val="en-GB" w:eastAsia="en-US"/>
        </w:rPr>
        <w:t xml:space="preserve"> is a positive constant</w:t>
      </w:r>
    </w:p>
    <w:p w:rsidR="00571D44" w:rsidRDefault="00571D44" w:rsidP="00792239">
      <w:pPr>
        <w:numPr>
          <w:ilvl w:val="1"/>
          <w:numId w:val="44"/>
        </w:numPr>
        <w:spacing w:line="360" w:lineRule="auto"/>
        <w:rPr>
          <w:lang w:val="en-GB" w:eastAsia="en-US"/>
        </w:rPr>
      </w:pPr>
      <w:r w:rsidRPr="008917DE">
        <w:rPr>
          <w:position w:val="-10"/>
          <w:lang w:val="en-GB" w:eastAsia="en-US"/>
        </w:rPr>
        <w:object w:dxaOrig="820" w:dyaOrig="340">
          <v:shape id="_x0000_i1034" type="#_x0000_t75" style="width:41.15pt;height:17.05pt" o:ole="">
            <v:imagedata r:id="rId27" o:title=""/>
          </v:shape>
          <o:OLEObject Type="Embed" ProgID="Equation.DSMT4" ShapeID="_x0000_i1034" DrawAspect="Content" ObjectID="_1488028943" r:id="rId28"/>
        </w:object>
      </w:r>
      <w:r>
        <w:rPr>
          <w:lang w:val="en-GB" w:eastAsia="en-US"/>
        </w:rPr>
        <w:t xml:space="preserve"> </w:t>
      </w:r>
      <w:proofErr w:type="gramStart"/>
      <w:r>
        <w:rPr>
          <w:lang w:val="en-GB" w:eastAsia="en-US"/>
        </w:rPr>
        <w:t>for</w:t>
      </w:r>
      <w:proofErr w:type="gramEnd"/>
      <w:r>
        <w:rPr>
          <w:lang w:val="en-GB" w:eastAsia="en-US"/>
        </w:rPr>
        <w:t xml:space="preserve"> all </w:t>
      </w:r>
      <w:r w:rsidRPr="008917DE">
        <w:rPr>
          <w:i/>
          <w:lang w:val="en-GB" w:eastAsia="en-US"/>
        </w:rPr>
        <w:t>t</w:t>
      </w:r>
      <w:r>
        <w:rPr>
          <w:lang w:val="en-GB" w:eastAsia="en-US"/>
        </w:rPr>
        <w:t xml:space="preserve"> and </w:t>
      </w:r>
      <w:r w:rsidR="0061290D" w:rsidRPr="008917DE">
        <w:rPr>
          <w:position w:val="-10"/>
          <w:lang w:val="en-GB" w:eastAsia="en-US"/>
        </w:rPr>
        <w:object w:dxaOrig="999" w:dyaOrig="300">
          <v:shape id="_x0000_i1035" type="#_x0000_t75" style="width:49.95pt;height:15pt" o:ole="">
            <v:imagedata r:id="rId29" o:title=""/>
          </v:shape>
          <o:OLEObject Type="Embed" ProgID="Equation.DSMT4" ShapeID="_x0000_i1035" DrawAspect="Content" ObjectID="_1488028944" r:id="rId30"/>
        </w:object>
      </w:r>
      <w:r>
        <w:rPr>
          <w:lang w:val="en-GB" w:eastAsia="en-US"/>
        </w:rPr>
        <w:t xml:space="preserve"> for </w:t>
      </w:r>
      <w:r w:rsidRPr="007C20D9">
        <w:rPr>
          <w:position w:val="-10"/>
          <w:lang w:val="en-GB" w:eastAsia="en-US"/>
        </w:rPr>
        <w:object w:dxaOrig="820" w:dyaOrig="340">
          <v:shape id="_x0000_i1036" type="#_x0000_t75" style="width:41.15pt;height:17.05pt" o:ole="">
            <v:imagedata r:id="rId31" o:title=""/>
          </v:shape>
          <o:OLEObject Type="Embed" ProgID="Equation.DSMT4" ShapeID="_x0000_i1036" DrawAspect="Content" ObjectID="_1488028945" r:id="rId32"/>
        </w:object>
      </w:r>
      <w:r>
        <w:rPr>
          <w:lang w:val="en-GB" w:eastAsia="en-US"/>
        </w:rPr>
        <w:t xml:space="preserve">, where </w:t>
      </w:r>
      <w:r w:rsidR="0061290D" w:rsidRPr="007C20D9">
        <w:rPr>
          <w:position w:val="-6"/>
          <w:lang w:val="en-GB" w:eastAsia="en-US"/>
        </w:rPr>
        <w:object w:dxaOrig="499" w:dyaOrig="260">
          <v:shape id="_x0000_i1037" type="#_x0000_t75" style="width:25pt;height:12.95pt" o:ole="">
            <v:imagedata r:id="rId33" o:title=""/>
          </v:shape>
          <o:OLEObject Type="Embed" ProgID="Equation.DSMT4" ShapeID="_x0000_i1037" DrawAspect="Content" ObjectID="_1488028946" r:id="rId34"/>
        </w:object>
      </w:r>
      <w:r>
        <w:rPr>
          <w:lang w:val="en-GB" w:eastAsia="en-US"/>
        </w:rPr>
        <w:t>.</w:t>
      </w:r>
    </w:p>
    <w:p w:rsidR="00571D44" w:rsidRDefault="0061290D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The social optimum.  Box 16.2</w:t>
      </w:r>
      <w:r w:rsidR="00571D44">
        <w:rPr>
          <w:lang w:val="en-GB" w:eastAsia="en-US"/>
        </w:rPr>
        <w:t xml:space="preserve"> in </w:t>
      </w:r>
      <w:proofErr w:type="spellStart"/>
      <w:r w:rsidR="00571D44">
        <w:rPr>
          <w:lang w:val="en-GB" w:eastAsia="en-US"/>
        </w:rPr>
        <w:t>Perman</w:t>
      </w:r>
      <w:proofErr w:type="spellEnd"/>
      <w:r w:rsidR="00571D44">
        <w:rPr>
          <w:lang w:val="en-GB" w:eastAsia="en-US"/>
        </w:rPr>
        <w:t xml:space="preserve"> sec. 16.4</w: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The optimal emission tax from equation (16.12) in </w:t>
      </w:r>
      <w:proofErr w:type="spellStart"/>
      <w:r>
        <w:rPr>
          <w:lang w:val="en-GB" w:eastAsia="en-US"/>
        </w:rPr>
        <w:t>Perman</w:t>
      </w:r>
      <w:proofErr w:type="spellEnd"/>
      <w:r>
        <w:rPr>
          <w:lang w:val="en-GB" w:eastAsia="en-US"/>
        </w:rPr>
        <w:t xml:space="preserve"> sec. 16.4</w:t>
      </w:r>
      <w:r w:rsidR="007D1973">
        <w:rPr>
          <w:lang w:val="en-GB" w:eastAsia="en-US"/>
        </w:rPr>
        <w:t xml:space="preserve"> (which has a misprint ; should</w:t>
      </w:r>
      <w:r w:rsidR="0061290D">
        <w:rPr>
          <w:lang w:val="en-GB" w:eastAsia="en-US"/>
        </w:rPr>
        <w:t xml:space="preserve"> be = not</w:t>
      </w:r>
      <w:r w:rsidR="007D1973">
        <w:rPr>
          <w:lang w:val="en-GB" w:eastAsia="en-US"/>
        </w:rPr>
        <w:t xml:space="preserve"> </w:t>
      </w:r>
      <w:r w:rsidR="0061290D">
        <w:rPr>
          <w:lang w:val="en-GB" w:eastAsia="en-US"/>
        </w:rPr>
        <w:t>+)</w:t>
      </w:r>
      <w:r>
        <w:rPr>
          <w:lang w:val="en-GB" w:eastAsia="en-US"/>
        </w:rPr>
        <w:t xml:space="preserve">. </w:t>
      </w:r>
      <w:proofErr w:type="gramStart"/>
      <w:r>
        <w:rPr>
          <w:lang w:val="en-GB" w:eastAsia="en-US"/>
        </w:rPr>
        <w:t xml:space="preserve">Define </w:t>
      </w:r>
      <w:proofErr w:type="gramEnd"/>
      <w:r w:rsidRPr="008917DE">
        <w:rPr>
          <w:position w:val="-10"/>
          <w:lang w:val="en-GB" w:eastAsia="en-US"/>
        </w:rPr>
        <w:object w:dxaOrig="680" w:dyaOrig="240">
          <v:shape id="_x0000_i1038" type="#_x0000_t75" style="width:34.1pt;height:12.05pt" o:ole="">
            <v:imagedata r:id="rId35" o:title=""/>
          </v:shape>
          <o:OLEObject Type="Embed" ProgID="Equation.DSMT4" ShapeID="_x0000_i1038" DrawAspect="Content" ObjectID="_1488028947" r:id="rId36"/>
        </w:object>
      </w:r>
      <w:r>
        <w:rPr>
          <w:lang w:val="en-GB" w:eastAsia="en-US"/>
        </w:rPr>
        <w:t xml:space="preserve">. It follows from </w:t>
      </w:r>
      <w:proofErr w:type="spellStart"/>
      <w:r w:rsidR="004B2EF0" w:rsidRPr="004B2EF0">
        <w:rPr>
          <w:i/>
          <w:lang w:val="en-GB" w:eastAsia="en-US"/>
        </w:rPr>
        <w:t>Perman</w:t>
      </w:r>
      <w:proofErr w:type="spellEnd"/>
      <w:r w:rsidR="004B2EF0" w:rsidRPr="004B2EF0">
        <w:rPr>
          <w:i/>
          <w:lang w:val="en-GB" w:eastAsia="en-US"/>
        </w:rPr>
        <w:t xml:space="preserve"> </w:t>
      </w:r>
      <w:r w:rsidRPr="004B2EF0">
        <w:rPr>
          <w:i/>
          <w:lang w:val="en-GB" w:eastAsia="en-US"/>
        </w:rPr>
        <w:t>(16.12)</w:t>
      </w:r>
      <w:r>
        <w:rPr>
          <w:lang w:val="en-GB" w:eastAsia="en-US"/>
        </w:rPr>
        <w:t xml:space="preserve"> that</w:t>
      </w:r>
    </w:p>
    <w:p w:rsidR="00571D44" w:rsidRPr="00792239" w:rsidRDefault="00571D44" w:rsidP="00A034BA">
      <w:pPr>
        <w:pStyle w:val="ListParagraph"/>
        <w:spacing w:line="360" w:lineRule="auto"/>
        <w:rPr>
          <w:lang w:val="en-GB" w:eastAsia="en-US"/>
        </w:rPr>
      </w:pPr>
      <w:r w:rsidRPr="00792239">
        <w:rPr>
          <w:lang w:val="en-GB" w:eastAsia="en-US"/>
        </w:rPr>
        <w:tab/>
      </w:r>
      <w:r w:rsidR="00561DE1" w:rsidRPr="00A034BA">
        <w:rPr>
          <w:position w:val="-28"/>
          <w:lang w:val="en-GB" w:eastAsia="en-US"/>
        </w:rPr>
        <w:object w:dxaOrig="5240" w:dyaOrig="680">
          <v:shape id="_x0000_i1039" type="#_x0000_t75" style="width:262.15pt;height:34.1pt" o:ole="">
            <v:imagedata r:id="rId37" o:title=""/>
          </v:shape>
          <o:OLEObject Type="Embed" ProgID="Equation.DSMT4" ShapeID="_x0000_i1039" DrawAspect="Content" ObjectID="_1488028948" r:id="rId38"/>
        </w:objec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>The steady-state equilibrium (</w:t>
      </w:r>
      <w:proofErr w:type="gramStart"/>
      <w:r>
        <w:rPr>
          <w:lang w:val="en-GB" w:eastAsia="en-US"/>
        </w:rPr>
        <w:t xml:space="preserve">for </w:t>
      </w:r>
      <w:proofErr w:type="gramEnd"/>
      <w:r w:rsidR="00306BB9" w:rsidRPr="004072B3">
        <w:rPr>
          <w:position w:val="-6"/>
          <w:lang w:val="en-GB" w:eastAsia="en-US"/>
        </w:rPr>
        <w:object w:dxaOrig="520" w:dyaOrig="260">
          <v:shape id="_x0000_i1040" type="#_x0000_t75" style="width:25.85pt;height:12.95pt" o:ole="">
            <v:imagedata r:id="rId39" o:title=""/>
          </v:shape>
          <o:OLEObject Type="Embed" ProgID="Equation.DSMT4" ShapeID="_x0000_i1040" DrawAspect="Content" ObjectID="_1488028949" r:id="rId40"/>
        </w:object>
      </w:r>
      <w:r w:rsidR="002E790A">
        <w:rPr>
          <w:lang w:val="en-GB" w:eastAsia="en-US"/>
        </w:rPr>
        <w:t xml:space="preserve">). </w:t>
      </w:r>
      <w:proofErr w:type="spellStart"/>
      <w:r w:rsidR="002E790A">
        <w:rPr>
          <w:lang w:val="en-GB" w:eastAsia="en-US"/>
        </w:rPr>
        <w:t>Perman</w:t>
      </w:r>
      <w:proofErr w:type="spellEnd"/>
      <w:r w:rsidR="002E790A">
        <w:rPr>
          <w:lang w:val="en-GB" w:eastAsia="en-US"/>
        </w:rPr>
        <w:t xml:space="preserve"> Sec.</w:t>
      </w:r>
      <w:r>
        <w:rPr>
          <w:lang w:val="en-GB" w:eastAsia="en-US"/>
        </w:rPr>
        <w:t xml:space="preserve"> 16.4.1. </w:t>
      </w:r>
    </w:p>
    <w:p w:rsidR="00571D44" w:rsidRDefault="00571D44" w:rsidP="00792239">
      <w:pPr>
        <w:numPr>
          <w:ilvl w:val="0"/>
          <w:numId w:val="44"/>
        </w:numPr>
        <w:spacing w:line="360" w:lineRule="auto"/>
        <w:rPr>
          <w:lang w:val="en-GB" w:eastAsia="en-US"/>
        </w:rPr>
      </w:pPr>
      <w:r>
        <w:rPr>
          <w:lang w:val="en-GB" w:eastAsia="en-US"/>
        </w:rPr>
        <w:t xml:space="preserve">More on the three possibilities of the </w:t>
      </w:r>
      <w:r w:rsidRPr="0043505F">
        <w:rPr>
          <w:i/>
          <w:lang w:val="en-GB" w:eastAsia="en-US"/>
        </w:rPr>
        <w:t>D</w:t>
      </w:r>
      <w:r>
        <w:rPr>
          <w:lang w:val="en-GB" w:eastAsia="en-US"/>
        </w:rPr>
        <w:t>-function.</w:t>
      </w:r>
    </w:p>
    <w:p w:rsidR="00571D44" w:rsidRDefault="00571D44" w:rsidP="00571D44">
      <w:pPr>
        <w:spacing w:line="360" w:lineRule="auto"/>
        <w:rPr>
          <w:b/>
          <w:lang w:val="en-GB"/>
        </w:rPr>
      </w:pPr>
      <w:r>
        <w:rPr>
          <w:b/>
          <w:lang w:val="en-GB"/>
        </w:rPr>
        <w:lastRenderedPageBreak/>
        <w:t>Derivation of (*) using optimal control theory (sketch</w:t>
      </w:r>
      <w:r w:rsidR="004B2EF0">
        <w:rPr>
          <w:b/>
          <w:lang w:val="en-GB"/>
        </w:rPr>
        <w:t xml:space="preserve">; see the lecture note </w:t>
      </w:r>
      <w:r w:rsidR="004B2EF0" w:rsidRPr="004B2EF0">
        <w:rPr>
          <w:b/>
          <w:bCs/>
          <w:lang w:val="en-GB"/>
        </w:rPr>
        <w:t>“Optimal control theory with applications for resource and environmental economics”</w:t>
      </w:r>
      <w:r w:rsidR="004B2EF0">
        <w:rPr>
          <w:b/>
          <w:bCs/>
          <w:lang w:val="en-GB"/>
        </w:rPr>
        <w:t xml:space="preserve"> for a more complete derivation</w:t>
      </w:r>
      <w:r>
        <w:rPr>
          <w:b/>
          <w:lang w:val="en-GB"/>
        </w:rPr>
        <w:t>):</w:t>
      </w: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 xml:space="preserve">Max </w:t>
      </w:r>
      <w:r w:rsidR="002E790A" w:rsidRPr="00F531C3">
        <w:rPr>
          <w:position w:val="-28"/>
          <w:lang w:val="en-GB"/>
        </w:rPr>
        <w:object w:dxaOrig="2480" w:dyaOrig="680">
          <v:shape id="_x0000_i1041" type="#_x0000_t75" style="width:124pt;height:34.1pt" o:ole="">
            <v:imagedata r:id="rId41" o:title=""/>
          </v:shape>
          <o:OLEObject Type="Embed" ProgID="Equation.DSMT4" ShapeID="_x0000_i1041" DrawAspect="Content" ObjectID="_1488028950" r:id="rId42"/>
        </w:object>
      </w:r>
    </w:p>
    <w:p w:rsidR="00571D44" w:rsidRDefault="00571D44" w:rsidP="00571D44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s.t.</w:t>
      </w:r>
      <w:proofErr w:type="spellEnd"/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10"/>
          <w:lang w:val="en-GB"/>
        </w:rPr>
        <w:object w:dxaOrig="1820" w:dyaOrig="340">
          <v:shape id="_x0000_i1042" type="#_x0000_t75" style="width:91.1pt;height:17.05pt" o:ole="">
            <v:imagedata r:id="rId43" o:title=""/>
          </v:shape>
          <o:OLEObject Type="Embed" ProgID="Equation.DSMT4" ShapeID="_x0000_i1042" DrawAspect="Content" ObjectID="_1488028951" r:id="rId44"/>
        </w:object>
      </w: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>Current value Hamiltonian</w:t>
      </w:r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12"/>
          <w:lang w:val="en-GB"/>
        </w:rPr>
        <w:object w:dxaOrig="3360" w:dyaOrig="360">
          <v:shape id="_x0000_i1043" type="#_x0000_t75" style="width:168.1pt;height:17.95pt" o:ole="">
            <v:imagedata r:id="rId45" o:title=""/>
          </v:shape>
          <o:OLEObject Type="Embed" ProgID="Equation.DSMT4" ShapeID="_x0000_i1043" DrawAspect="Content" ObjectID="_1488028952" r:id="rId46"/>
        </w:object>
      </w: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>Optimal solution satisfies</w:t>
      </w:r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22"/>
          <w:lang w:val="en-GB"/>
        </w:rPr>
        <w:object w:dxaOrig="760" w:dyaOrig="580">
          <v:shape id="_x0000_i1044" type="#_x0000_t75" style="width:37.9pt;height:29.1pt" o:ole="">
            <v:imagedata r:id="rId47" o:title=""/>
          </v:shape>
          <o:OLEObject Type="Embed" ProgID="Equation.DSMT4" ShapeID="_x0000_i1044" DrawAspect="Content" ObjectID="_1488028953" r:id="rId48"/>
        </w:object>
      </w:r>
    </w:p>
    <w:p w:rsidR="00571D44" w:rsidRDefault="00571D44" w:rsidP="00571D44">
      <w:pPr>
        <w:spacing w:line="360" w:lineRule="auto"/>
        <w:rPr>
          <w:lang w:val="en-GB"/>
        </w:rPr>
      </w:pPr>
      <w:r w:rsidRPr="00F531C3">
        <w:rPr>
          <w:position w:val="-22"/>
          <w:lang w:val="en-GB"/>
        </w:rPr>
        <w:object w:dxaOrig="1800" w:dyaOrig="580">
          <v:shape id="_x0000_i1045" type="#_x0000_t75" style="width:89.95pt;height:29.1pt" o:ole="">
            <v:imagedata r:id="rId49" o:title=""/>
          </v:shape>
          <o:OLEObject Type="Embed" ProgID="Equation.DSMT4" ShapeID="_x0000_i1045" DrawAspect="Content" ObjectID="_1488028954" r:id="rId50"/>
        </w:objec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571D44" w:rsidRDefault="00571D44" w:rsidP="00571D44">
      <w:pPr>
        <w:spacing w:line="360" w:lineRule="auto"/>
        <w:rPr>
          <w:lang w:val="en-GB"/>
        </w:rPr>
      </w:pPr>
      <w:r>
        <w:rPr>
          <w:lang w:val="en-GB"/>
        </w:rPr>
        <w:t xml:space="preserve">Defining </w:t>
      </w:r>
      <w:r w:rsidRPr="00F531C3">
        <w:rPr>
          <w:position w:val="-10"/>
          <w:lang w:val="en-GB"/>
        </w:rPr>
        <w:object w:dxaOrig="1140" w:dyaOrig="300">
          <v:shape id="_x0000_i1046" type="#_x0000_t75" style="width:57pt;height:15pt" o:ole="">
            <v:imagedata r:id="rId51" o:title=""/>
          </v:shape>
          <o:OLEObject Type="Embed" ProgID="Equation.DSMT4" ShapeID="_x0000_i1046" DrawAspect="Content" ObjectID="_1488028955" r:id="rId52"/>
        </w:object>
      </w:r>
      <w:r>
        <w:rPr>
          <w:lang w:val="en-GB"/>
        </w:rPr>
        <w:t xml:space="preserve"> this gives</w: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571D44" w:rsidRDefault="002E790A" w:rsidP="00571D44">
      <w:pPr>
        <w:spacing w:line="360" w:lineRule="auto"/>
        <w:rPr>
          <w:lang w:val="en-GB"/>
        </w:rPr>
      </w:pPr>
      <w:r w:rsidRPr="00F531C3">
        <w:rPr>
          <w:position w:val="-10"/>
          <w:lang w:val="en-GB"/>
        </w:rPr>
        <w:object w:dxaOrig="1420" w:dyaOrig="300">
          <v:shape id="_x0000_i1047" type="#_x0000_t75" style="width:71.1pt;height:15pt" o:ole="">
            <v:imagedata r:id="rId53" o:title=""/>
          </v:shape>
          <o:OLEObject Type="Embed" ProgID="Equation.DSMT4" ShapeID="_x0000_i1047" DrawAspect="Content" ObjectID="_1488028956" r:id="rId54"/>
        </w:object>
      </w:r>
      <w:r w:rsidR="00571D44">
        <w:rPr>
          <w:lang w:val="en-GB"/>
        </w:rPr>
        <w:t xml:space="preserve"> </w:t>
      </w:r>
      <w:proofErr w:type="gramStart"/>
      <w:r w:rsidR="00571D44">
        <w:rPr>
          <w:lang w:val="en-GB"/>
        </w:rPr>
        <w:t>and</w:t>
      </w:r>
      <w:proofErr w:type="gramEnd"/>
      <w:r w:rsidR="00571D44">
        <w:rPr>
          <w:lang w:val="en-GB"/>
        </w:rPr>
        <w:t xml:space="preserve"> the development of </w:t>
      </w:r>
      <w:r w:rsidR="00571D44" w:rsidRPr="00F531C3">
        <w:rPr>
          <w:i/>
          <w:lang w:val="en-GB"/>
        </w:rPr>
        <w:t>q</w:t>
      </w:r>
      <w:r w:rsidR="00571D44">
        <w:rPr>
          <w:lang w:val="en-GB"/>
        </w:rPr>
        <w:t xml:space="preserve"> is given by</w:t>
      </w:r>
    </w:p>
    <w:p w:rsidR="00571D44" w:rsidRDefault="00306BB9" w:rsidP="00571D44">
      <w:pPr>
        <w:spacing w:line="360" w:lineRule="auto"/>
        <w:rPr>
          <w:lang w:val="en-GB"/>
        </w:rPr>
      </w:pPr>
      <w:r w:rsidRPr="00F531C3">
        <w:rPr>
          <w:position w:val="-10"/>
          <w:lang w:val="en-GB"/>
        </w:rPr>
        <w:object w:dxaOrig="2500" w:dyaOrig="300">
          <v:shape id="_x0000_i1048" type="#_x0000_t75" style="width:124.9pt;height:15pt" o:ole="">
            <v:imagedata r:id="rId55" o:title=""/>
          </v:shape>
          <o:OLEObject Type="Embed" ProgID="Equation.DSMT4" ShapeID="_x0000_i1048" DrawAspect="Content" ObjectID="_1488028957" r:id="rId56"/>
        </w:object>
      </w:r>
      <w:r w:rsidR="00571D44">
        <w:rPr>
          <w:lang w:val="en-GB"/>
        </w:rPr>
        <w:t xml:space="preserve">  </w:t>
      </w:r>
      <w:proofErr w:type="gramStart"/>
      <w:r w:rsidR="00571D44">
        <w:rPr>
          <w:lang w:val="en-GB"/>
        </w:rPr>
        <w:t>which</w:t>
      </w:r>
      <w:proofErr w:type="gramEnd"/>
      <w:r w:rsidR="00571D44">
        <w:rPr>
          <w:lang w:val="en-GB"/>
        </w:rPr>
        <w:t xml:space="preserve"> implies that</w: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571D44" w:rsidRDefault="00306BB9" w:rsidP="00571D44">
      <w:pPr>
        <w:spacing w:line="360" w:lineRule="auto"/>
        <w:rPr>
          <w:lang w:val="en-GB"/>
        </w:rPr>
      </w:pPr>
      <w:r w:rsidRPr="00F531C3">
        <w:rPr>
          <w:position w:val="-28"/>
          <w:lang w:val="en-GB"/>
        </w:rPr>
        <w:object w:dxaOrig="3220" w:dyaOrig="680">
          <v:shape id="_x0000_i1049" type="#_x0000_t75" style="width:161.05pt;height:34.1pt" o:ole="">
            <v:imagedata r:id="rId57" o:title=""/>
          </v:shape>
          <o:OLEObject Type="Embed" ProgID="Equation.DSMT4" ShapeID="_x0000_i1049" DrawAspect="Content" ObjectID="_1488028958" r:id="rId58"/>
        </w:object>
      </w:r>
      <w:r w:rsidR="00571D44">
        <w:rPr>
          <w:lang w:val="en-GB"/>
        </w:rPr>
        <w:t xml:space="preserve"> </w:t>
      </w:r>
    </w:p>
    <w:p w:rsidR="00571D44" w:rsidRDefault="00571D44" w:rsidP="00571D44">
      <w:pPr>
        <w:spacing w:line="360" w:lineRule="auto"/>
        <w:rPr>
          <w:lang w:val="en-GB"/>
        </w:rPr>
      </w:pPr>
    </w:p>
    <w:p w:rsidR="00425DE1" w:rsidRDefault="00571D44" w:rsidP="00306BB9">
      <w:pPr>
        <w:spacing w:line="360" w:lineRule="auto"/>
        <w:rPr>
          <w:lang w:val="en-GB" w:eastAsia="en-US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</w:t>
      </w:r>
      <w:r w:rsidRPr="00455444">
        <w:rPr>
          <w:i/>
          <w:lang w:val="en-GB"/>
        </w:rPr>
        <w:t>K</w:t>
      </w:r>
      <w:r>
        <w:rPr>
          <w:lang w:val="en-GB"/>
        </w:rPr>
        <w:t xml:space="preserve"> is some constant. However, the </w:t>
      </w:r>
      <w:proofErr w:type="spellStart"/>
      <w:r>
        <w:rPr>
          <w:lang w:val="en-GB"/>
        </w:rPr>
        <w:t>transversality</w:t>
      </w:r>
      <w:proofErr w:type="spellEnd"/>
      <w:r>
        <w:rPr>
          <w:lang w:val="en-GB"/>
        </w:rPr>
        <w:t xml:space="preserve"> conditions imply that K=0, giving (*)</w:t>
      </w:r>
    </w:p>
    <w:sectPr w:rsidR="00425DE1" w:rsidSect="002674A7">
      <w:headerReference w:type="even" r:id="rId59"/>
      <w:headerReference w:type="default" r:id="rId6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0D" w:rsidRDefault="00C7010D">
      <w:r>
        <w:separator/>
      </w:r>
    </w:p>
  </w:endnote>
  <w:endnote w:type="continuationSeparator" w:id="0">
    <w:p w:rsidR="00C7010D" w:rsidRDefault="00C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0D" w:rsidRDefault="00C7010D">
      <w:r>
        <w:separator/>
      </w:r>
    </w:p>
  </w:footnote>
  <w:footnote w:type="continuationSeparator" w:id="0">
    <w:p w:rsidR="00C7010D" w:rsidRDefault="00C7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B0" w:rsidRDefault="0094076A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9B0">
      <w:rPr>
        <w:rStyle w:val="PageNumber"/>
        <w:noProof/>
      </w:rPr>
      <w:t>8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B0" w:rsidRDefault="0094076A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F6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BD9"/>
    <w:multiLevelType w:val="hybridMultilevel"/>
    <w:tmpl w:val="816802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920B0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07F75"/>
    <w:multiLevelType w:val="multilevel"/>
    <w:tmpl w:val="A18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A285B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C16F0"/>
    <w:multiLevelType w:val="multilevel"/>
    <w:tmpl w:val="65C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A2317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51A71"/>
    <w:multiLevelType w:val="hybridMultilevel"/>
    <w:tmpl w:val="391433E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842F2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95BE0"/>
    <w:multiLevelType w:val="hybridMultilevel"/>
    <w:tmpl w:val="E23CC4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709EC"/>
    <w:multiLevelType w:val="hybridMultilevel"/>
    <w:tmpl w:val="A628BAF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6960DB"/>
    <w:multiLevelType w:val="hybridMultilevel"/>
    <w:tmpl w:val="EB189372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C4D49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2019A"/>
    <w:multiLevelType w:val="hybridMultilevel"/>
    <w:tmpl w:val="00C87B66"/>
    <w:lvl w:ilvl="0" w:tplc="ADA66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25A32"/>
    <w:multiLevelType w:val="hybridMultilevel"/>
    <w:tmpl w:val="D8C4749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406C1"/>
    <w:multiLevelType w:val="hybridMultilevel"/>
    <w:tmpl w:val="9E2EBE7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893386"/>
    <w:multiLevelType w:val="hybridMultilevel"/>
    <w:tmpl w:val="990026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5F1579"/>
    <w:multiLevelType w:val="hybridMultilevel"/>
    <w:tmpl w:val="F870A8E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6C09F2"/>
    <w:multiLevelType w:val="multilevel"/>
    <w:tmpl w:val="8488F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996138"/>
    <w:multiLevelType w:val="hybridMultilevel"/>
    <w:tmpl w:val="B3508C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22B6D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AB07F6"/>
    <w:multiLevelType w:val="hybridMultilevel"/>
    <w:tmpl w:val="2C041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6D49"/>
    <w:multiLevelType w:val="hybridMultilevel"/>
    <w:tmpl w:val="5C9C5D20"/>
    <w:lvl w:ilvl="0" w:tplc="0414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842DDF"/>
    <w:multiLevelType w:val="hybridMultilevel"/>
    <w:tmpl w:val="17A215AC"/>
    <w:lvl w:ilvl="0" w:tplc="BD0A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D176CB"/>
    <w:multiLevelType w:val="hybridMultilevel"/>
    <w:tmpl w:val="AA7018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030A14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3A6FC6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4155172"/>
    <w:multiLevelType w:val="hybridMultilevel"/>
    <w:tmpl w:val="7F80C4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9E3D39"/>
    <w:multiLevelType w:val="hybridMultilevel"/>
    <w:tmpl w:val="E3F262B6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B6D94"/>
    <w:multiLevelType w:val="hybridMultilevel"/>
    <w:tmpl w:val="32660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206A4E"/>
    <w:multiLevelType w:val="hybridMultilevel"/>
    <w:tmpl w:val="F7BCA37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DA43DA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F359BC"/>
    <w:multiLevelType w:val="multilevel"/>
    <w:tmpl w:val="FBEE9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2373ED"/>
    <w:multiLevelType w:val="multilevel"/>
    <w:tmpl w:val="990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770A8F"/>
    <w:multiLevelType w:val="hybridMultilevel"/>
    <w:tmpl w:val="7E68F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1517AF"/>
    <w:multiLevelType w:val="hybridMultilevel"/>
    <w:tmpl w:val="7F8CC5DA"/>
    <w:lvl w:ilvl="0" w:tplc="801C3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885E0D"/>
    <w:multiLevelType w:val="multilevel"/>
    <w:tmpl w:val="4E0CB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37218"/>
    <w:multiLevelType w:val="hybridMultilevel"/>
    <w:tmpl w:val="913AC324"/>
    <w:lvl w:ilvl="0" w:tplc="BD0AA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1825D0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F65C6"/>
    <w:multiLevelType w:val="hybridMultilevel"/>
    <w:tmpl w:val="708C33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247E4"/>
    <w:multiLevelType w:val="hybridMultilevel"/>
    <w:tmpl w:val="A1BC2C60"/>
    <w:lvl w:ilvl="0" w:tplc="801C3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00DF5"/>
    <w:multiLevelType w:val="hybridMultilevel"/>
    <w:tmpl w:val="5860D7A0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4208F"/>
    <w:multiLevelType w:val="hybridMultilevel"/>
    <w:tmpl w:val="A18A96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C33E0"/>
    <w:multiLevelType w:val="multilevel"/>
    <w:tmpl w:val="705E5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746734"/>
    <w:multiLevelType w:val="multilevel"/>
    <w:tmpl w:val="E3F262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92588"/>
    <w:multiLevelType w:val="multilevel"/>
    <w:tmpl w:val="AA7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26"/>
  </w:num>
  <w:num w:numId="5">
    <w:abstractNumId w:val="20"/>
  </w:num>
  <w:num w:numId="6">
    <w:abstractNumId w:val="28"/>
  </w:num>
  <w:num w:numId="7">
    <w:abstractNumId w:val="33"/>
  </w:num>
  <w:num w:numId="8">
    <w:abstractNumId w:val="42"/>
  </w:num>
  <w:num w:numId="9">
    <w:abstractNumId w:val="31"/>
  </w:num>
  <w:num w:numId="10">
    <w:abstractNumId w:val="16"/>
  </w:num>
  <w:num w:numId="11">
    <w:abstractNumId w:val="17"/>
  </w:num>
  <w:num w:numId="12">
    <w:abstractNumId w:val="41"/>
  </w:num>
  <w:num w:numId="13">
    <w:abstractNumId w:val="23"/>
  </w:num>
  <w:num w:numId="14">
    <w:abstractNumId w:val="12"/>
  </w:num>
  <w:num w:numId="15">
    <w:abstractNumId w:val="27"/>
  </w:num>
  <w:num w:numId="16">
    <w:abstractNumId w:val="4"/>
  </w:num>
  <w:num w:numId="17">
    <w:abstractNumId w:val="29"/>
  </w:num>
  <w:num w:numId="18">
    <w:abstractNumId w:val="35"/>
  </w:num>
  <w:num w:numId="19">
    <w:abstractNumId w:val="25"/>
  </w:num>
  <w:num w:numId="20">
    <w:abstractNumId w:val="44"/>
  </w:num>
  <w:num w:numId="21">
    <w:abstractNumId w:val="0"/>
  </w:num>
  <w:num w:numId="22">
    <w:abstractNumId w:val="43"/>
  </w:num>
  <w:num w:numId="23">
    <w:abstractNumId w:val="9"/>
  </w:num>
  <w:num w:numId="24">
    <w:abstractNumId w:val="10"/>
  </w:num>
  <w:num w:numId="25">
    <w:abstractNumId w:val="40"/>
  </w:num>
  <w:num w:numId="26">
    <w:abstractNumId w:val="2"/>
  </w:num>
  <w:num w:numId="27">
    <w:abstractNumId w:val="24"/>
  </w:num>
  <w:num w:numId="28">
    <w:abstractNumId w:val="11"/>
  </w:num>
  <w:num w:numId="29">
    <w:abstractNumId w:val="3"/>
  </w:num>
  <w:num w:numId="30">
    <w:abstractNumId w:val="30"/>
  </w:num>
  <w:num w:numId="31">
    <w:abstractNumId w:val="5"/>
  </w:num>
  <w:num w:numId="32">
    <w:abstractNumId w:val="1"/>
  </w:num>
  <w:num w:numId="33">
    <w:abstractNumId w:val="19"/>
  </w:num>
  <w:num w:numId="34">
    <w:abstractNumId w:val="37"/>
  </w:num>
  <w:num w:numId="35">
    <w:abstractNumId w:val="7"/>
  </w:num>
  <w:num w:numId="36">
    <w:abstractNumId w:val="14"/>
  </w:num>
  <w:num w:numId="37">
    <w:abstractNumId w:val="39"/>
  </w:num>
  <w:num w:numId="38">
    <w:abstractNumId w:val="36"/>
  </w:num>
  <w:num w:numId="39">
    <w:abstractNumId w:val="34"/>
  </w:num>
  <w:num w:numId="40">
    <w:abstractNumId w:val="22"/>
  </w:num>
  <w:num w:numId="41">
    <w:abstractNumId w:val="8"/>
  </w:num>
  <w:num w:numId="42">
    <w:abstractNumId w:val="6"/>
  </w:num>
  <w:num w:numId="43">
    <w:abstractNumId w:val="13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6"/>
    <w:rsid w:val="00005ACD"/>
    <w:rsid w:val="00017A3C"/>
    <w:rsid w:val="00032299"/>
    <w:rsid w:val="000348CA"/>
    <w:rsid w:val="00047B6C"/>
    <w:rsid w:val="00067EC9"/>
    <w:rsid w:val="00072BF1"/>
    <w:rsid w:val="00085A21"/>
    <w:rsid w:val="000C1A8D"/>
    <w:rsid w:val="00121360"/>
    <w:rsid w:val="0013422F"/>
    <w:rsid w:val="0013784F"/>
    <w:rsid w:val="00147B70"/>
    <w:rsid w:val="00162480"/>
    <w:rsid w:val="00187D96"/>
    <w:rsid w:val="00196951"/>
    <w:rsid w:val="001B0479"/>
    <w:rsid w:val="001D1693"/>
    <w:rsid w:val="001D471E"/>
    <w:rsid w:val="0021003B"/>
    <w:rsid w:val="0021798B"/>
    <w:rsid w:val="00220973"/>
    <w:rsid w:val="00231411"/>
    <w:rsid w:val="002440D9"/>
    <w:rsid w:val="002674A7"/>
    <w:rsid w:val="002A6FDF"/>
    <w:rsid w:val="002A7451"/>
    <w:rsid w:val="002B290D"/>
    <w:rsid w:val="002E790A"/>
    <w:rsid w:val="0030001D"/>
    <w:rsid w:val="003003AB"/>
    <w:rsid w:val="00302072"/>
    <w:rsid w:val="00302B44"/>
    <w:rsid w:val="00306BB9"/>
    <w:rsid w:val="00312DD9"/>
    <w:rsid w:val="003141AC"/>
    <w:rsid w:val="00316A37"/>
    <w:rsid w:val="00324904"/>
    <w:rsid w:val="0033712C"/>
    <w:rsid w:val="00363FC1"/>
    <w:rsid w:val="00365ECD"/>
    <w:rsid w:val="003B36A5"/>
    <w:rsid w:val="003F332A"/>
    <w:rsid w:val="004072B3"/>
    <w:rsid w:val="00410DE3"/>
    <w:rsid w:val="0042053B"/>
    <w:rsid w:val="00425DE1"/>
    <w:rsid w:val="00427601"/>
    <w:rsid w:val="00431F17"/>
    <w:rsid w:val="0043505F"/>
    <w:rsid w:val="00455444"/>
    <w:rsid w:val="00461B6A"/>
    <w:rsid w:val="00491651"/>
    <w:rsid w:val="004A562C"/>
    <w:rsid w:val="004B2EF0"/>
    <w:rsid w:val="00526A59"/>
    <w:rsid w:val="00531EA8"/>
    <w:rsid w:val="00551760"/>
    <w:rsid w:val="00561DE1"/>
    <w:rsid w:val="00564674"/>
    <w:rsid w:val="005707D3"/>
    <w:rsid w:val="00571D44"/>
    <w:rsid w:val="00591D1D"/>
    <w:rsid w:val="005A4A86"/>
    <w:rsid w:val="005A5AA0"/>
    <w:rsid w:val="005C5544"/>
    <w:rsid w:val="005D357F"/>
    <w:rsid w:val="005F32C3"/>
    <w:rsid w:val="00600677"/>
    <w:rsid w:val="006065B4"/>
    <w:rsid w:val="0061290D"/>
    <w:rsid w:val="00642953"/>
    <w:rsid w:val="0066433B"/>
    <w:rsid w:val="00665AA6"/>
    <w:rsid w:val="00693DF6"/>
    <w:rsid w:val="006B1E8F"/>
    <w:rsid w:val="006B402B"/>
    <w:rsid w:val="006B442C"/>
    <w:rsid w:val="006D17AE"/>
    <w:rsid w:val="006E3B24"/>
    <w:rsid w:val="006F2F49"/>
    <w:rsid w:val="00764F97"/>
    <w:rsid w:val="00773DE0"/>
    <w:rsid w:val="00790CF9"/>
    <w:rsid w:val="00792239"/>
    <w:rsid w:val="007A418B"/>
    <w:rsid w:val="007C20D9"/>
    <w:rsid w:val="007D1973"/>
    <w:rsid w:val="007E0D7C"/>
    <w:rsid w:val="007E414A"/>
    <w:rsid w:val="00834FFC"/>
    <w:rsid w:val="008404C6"/>
    <w:rsid w:val="00866437"/>
    <w:rsid w:val="0086649E"/>
    <w:rsid w:val="00884737"/>
    <w:rsid w:val="008917DE"/>
    <w:rsid w:val="008A1A98"/>
    <w:rsid w:val="008C5EE3"/>
    <w:rsid w:val="00907D7B"/>
    <w:rsid w:val="00915740"/>
    <w:rsid w:val="0094076A"/>
    <w:rsid w:val="009703CE"/>
    <w:rsid w:val="00970D7C"/>
    <w:rsid w:val="00995E87"/>
    <w:rsid w:val="009E29B0"/>
    <w:rsid w:val="009F4596"/>
    <w:rsid w:val="00A01E2D"/>
    <w:rsid w:val="00A034BA"/>
    <w:rsid w:val="00A0642B"/>
    <w:rsid w:val="00A1356F"/>
    <w:rsid w:val="00A31A7D"/>
    <w:rsid w:val="00A56FAE"/>
    <w:rsid w:val="00A67A50"/>
    <w:rsid w:val="00AA7F89"/>
    <w:rsid w:val="00AB495F"/>
    <w:rsid w:val="00AB6E9D"/>
    <w:rsid w:val="00AC11B6"/>
    <w:rsid w:val="00B102C4"/>
    <w:rsid w:val="00B13C45"/>
    <w:rsid w:val="00B5426E"/>
    <w:rsid w:val="00B628CF"/>
    <w:rsid w:val="00B820F1"/>
    <w:rsid w:val="00B83F6C"/>
    <w:rsid w:val="00B91F6C"/>
    <w:rsid w:val="00BA7DD9"/>
    <w:rsid w:val="00BB3EBF"/>
    <w:rsid w:val="00BD504C"/>
    <w:rsid w:val="00BD629F"/>
    <w:rsid w:val="00BE722B"/>
    <w:rsid w:val="00C41DFF"/>
    <w:rsid w:val="00C5219C"/>
    <w:rsid w:val="00C63F67"/>
    <w:rsid w:val="00C660CD"/>
    <w:rsid w:val="00C667C4"/>
    <w:rsid w:val="00C7010D"/>
    <w:rsid w:val="00C7292F"/>
    <w:rsid w:val="00C80FEB"/>
    <w:rsid w:val="00C82538"/>
    <w:rsid w:val="00CF0AD0"/>
    <w:rsid w:val="00D275AD"/>
    <w:rsid w:val="00D3353A"/>
    <w:rsid w:val="00D417EB"/>
    <w:rsid w:val="00D5239F"/>
    <w:rsid w:val="00D8143F"/>
    <w:rsid w:val="00D87B2C"/>
    <w:rsid w:val="00D92FAD"/>
    <w:rsid w:val="00D94AFD"/>
    <w:rsid w:val="00DD70A1"/>
    <w:rsid w:val="00DE27F4"/>
    <w:rsid w:val="00DF5B2E"/>
    <w:rsid w:val="00DF5C95"/>
    <w:rsid w:val="00E355DA"/>
    <w:rsid w:val="00E37852"/>
    <w:rsid w:val="00E5753D"/>
    <w:rsid w:val="00E738EC"/>
    <w:rsid w:val="00E75EDD"/>
    <w:rsid w:val="00EA1032"/>
    <w:rsid w:val="00EF7238"/>
    <w:rsid w:val="00F40B5A"/>
    <w:rsid w:val="00F531C3"/>
    <w:rsid w:val="00F73012"/>
    <w:rsid w:val="00F96748"/>
    <w:rsid w:val="00FD2D8F"/>
    <w:rsid w:val="00FD418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CF660-B27B-46EE-A303-E927414B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0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FD2D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5EDD"/>
    <w:rPr>
      <w:color w:val="800080"/>
      <w:u w:val="single"/>
    </w:rPr>
  </w:style>
  <w:style w:type="table" w:styleId="TableGrid">
    <w:name w:val="Table Grid"/>
    <w:basedOn w:val="TableNormal"/>
    <w:rsid w:val="0042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47B6C"/>
    <w:rPr>
      <w:rFonts w:eastAsia="Times New Roman"/>
      <w:sz w:val="48"/>
      <w:szCs w:val="48"/>
      <w:lang w:val="en-GB" w:eastAsia="nb-NO"/>
    </w:rPr>
  </w:style>
  <w:style w:type="paragraph" w:customStyle="1" w:styleId="Figurecaption">
    <w:name w:val="Figure caption"/>
    <w:next w:val="Normal"/>
    <w:rsid w:val="00047B6C"/>
    <w:pPr>
      <w:suppressAutoHyphens/>
      <w:spacing w:before="120" w:after="360"/>
      <w:jc w:val="center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FF6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F6D59"/>
  </w:style>
  <w:style w:type="character" w:styleId="EndnoteReference">
    <w:name w:val="endnote reference"/>
    <w:basedOn w:val="DefaultParagraphFont"/>
    <w:rsid w:val="00FF6D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hyperlink" Target="https://dutraeconomicus.files.wordpress.com/2014/01/roger-perman-yue-ma-michael-common-david-maddison-james-mcgilvray-natural-resource-and-environmental-economics-3rd-edition-2003.pdf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A39-4772-4931-8AC6-7A64153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01 August 2007</vt:lpstr>
    </vt:vector>
  </TitlesOfParts>
  <Company>UiO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01 August 2007</dc:title>
  <dc:creator>olav</dc:creator>
  <cp:lastModifiedBy>Michael Hoel</cp:lastModifiedBy>
  <cp:revision>2</cp:revision>
  <cp:lastPrinted>2008-04-08T16:54:00Z</cp:lastPrinted>
  <dcterms:created xsi:type="dcterms:W3CDTF">2015-03-16T15:35:00Z</dcterms:created>
  <dcterms:modified xsi:type="dcterms:W3CDTF">2015-03-16T15:35:00Z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